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r>
        <w:t>Documento institucional e informativo. As metas e iniciativas futuras descritas neste documento representam planos do projeto e estão sujeitas à execução, condições de mercado, critérios de terceiros e requisitos tecnológicos, comerciais e regulatórios aplicáveis.</w:t>
      </w:r>
    </w:p>
    <w:p>
      <w:pPr>
        <w:pStyle w:val="Heading1"/>
      </w:pPr>
      <w:r>
        <w:t>1. VISÃO DO PROJETO</w:t>
      </w:r>
    </w:p>
    <w:p>
      <w:r>
        <w:t>A MinaCash propõe um ecossistema voltado ao consumo inteligente, cashback, benefícios, serviços e utilização do ativo digital MC. O objetivo é conectar atividade econômica real, benefícios ao consumidor e mecanismos de distribuição e utilização do MC dentro do ecossistema.</w:t>
      </w:r>
    </w:p>
    <w:p>
      <w:pPr>
        <w:pStyle w:val="Heading1"/>
      </w:pPr>
      <w:r>
        <w:t>2. IDENTIFICAÇÃO DO TOKEN</w:t>
      </w:r>
    </w:p>
    <w:p>
      <w:r>
        <w:t>Nome: MinaCash</w:t>
      </w:r>
    </w:p>
    <w:p>
      <w:r>
        <w:t>Símbolo: MC</w:t>
      </w:r>
    </w:p>
    <w:p>
      <w:r>
        <w:t>Rede: BNB Smart Chain</w:t>
      </w:r>
    </w:p>
    <w:p>
      <w:r>
        <w:t>Padrão: BEP-20</w:t>
      </w:r>
    </w:p>
    <w:p>
      <w:r>
        <w:t>Oferta máxima: 20.000.000 MC</w:t>
      </w:r>
    </w:p>
    <w:p>
      <w:r>
        <w:t>Contrato: 0xB1267cF152947c7eFF64507bd749E0d7D992946A</w:t>
      </w:r>
    </w:p>
    <w:p>
      <w:pPr>
        <w:pStyle w:val="Heading1"/>
      </w:pPr>
      <w:r>
        <w:t>3. DISTRIBUIÇÃO E TRANSPARÊNCIA</w:t>
      </w:r>
    </w:p>
    <w:p>
      <w:r>
        <w:t>A distribuição do MC pode ser verificada publicamente na blockchain. O projeto mantém como princípio a divulgação das principais carteiras, bloqueios conhecidos, liquidez e demais informações on-chain relevantes. O número de holders é variável e deve ser consultado diretamente na blockchain.</w:t>
      </w:r>
    </w:p>
    <w:p>
      <w:pPr>
        <w:pStyle w:val="Heading1"/>
      </w:pPr>
      <w:r>
        <w:t>4. PRINCIPAIS CARTEIRAS</w:t>
      </w:r>
    </w:p>
    <w:p>
      <w:r>
        <w:t>Carteira comercial/administrativa/operacional: 0x20235E6FE69EfB009303c767eCf24e8EEc349c74 — 6.407.187,6948 MC (32,0359%). Esta carteira é destinada à operação comercial, expansão e formação de mercado durante o período operacional previsto e não possui bloqueio temporal declarado.</w:t>
      </w:r>
    </w:p>
    <w:p>
      <w:pPr>
        <w:pStyle w:val="Heading1"/>
      </w:pPr>
      <w:r>
        <w:t>5. CARTEIRAS COM BLOQUEIO CONFIRMADO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Carteira</w:t>
            </w:r>
          </w:p>
        </w:tc>
        <w:tc>
          <w:tcPr>
            <w:tcW w:type="dxa" w:w="2520"/>
          </w:tcPr>
          <w:p>
            <w:r>
              <w:t>Quantidade MC</w:t>
            </w:r>
          </w:p>
        </w:tc>
        <w:tc>
          <w:tcPr>
            <w:tcW w:type="dxa" w:w="2520"/>
          </w:tcPr>
          <w:p>
            <w:r>
              <w:t>Participação</w:t>
            </w:r>
          </w:p>
        </w:tc>
        <w:tc>
          <w:tcPr>
            <w:tcW w:type="dxa" w:w="2520"/>
          </w:tcPr>
          <w:p>
            <w:r>
              <w:t>Situação</w:t>
            </w:r>
          </w:p>
        </w:tc>
      </w:tr>
      <w:tr>
        <w:tc>
          <w:tcPr>
            <w:tcW w:type="dxa" w:w="2520"/>
            <w:vAlign w:val="center"/>
          </w:tcPr>
          <w:p>
            <w:r>
              <w:t>0x34DbF23805BC8BE84ce91804162D91dD792487f0</w:t>
            </w:r>
          </w:p>
        </w:tc>
        <w:tc>
          <w:tcPr>
            <w:tcW w:type="dxa" w:w="2520"/>
            <w:vAlign w:val="center"/>
          </w:tcPr>
          <w:p>
            <w:r>
              <w:t>4.200.000</w:t>
            </w:r>
          </w:p>
        </w:tc>
        <w:tc>
          <w:tcPr>
            <w:tcW w:type="dxa" w:w="2520"/>
            <w:vAlign w:val="center"/>
          </w:tcPr>
          <w:p>
            <w:r>
              <w:t>21,0000%</w:t>
            </w:r>
          </w:p>
        </w:tc>
        <w:tc>
          <w:tcPr>
            <w:tcW w:type="dxa" w:w="2520"/>
            <w:vAlign w:val="center"/>
          </w:tcPr>
          <w:p>
            <w:r>
              <w:t>Bloqueada por 4 anos</w:t>
            </w:r>
          </w:p>
        </w:tc>
      </w:tr>
      <w:tr>
        <w:tc>
          <w:tcPr>
            <w:tcW w:type="dxa" w:w="2520"/>
            <w:vAlign w:val="center"/>
          </w:tcPr>
          <w:p>
            <w:r>
              <w:t>0x71Fabb5DCbA0F7B8570d81d1c707c8EBd85F69f2</w:t>
            </w:r>
          </w:p>
        </w:tc>
        <w:tc>
          <w:tcPr>
            <w:tcW w:type="dxa" w:w="2520"/>
            <w:vAlign w:val="center"/>
          </w:tcPr>
          <w:p>
            <w:r>
              <w:t>4.000.326,4290</w:t>
            </w:r>
          </w:p>
        </w:tc>
        <w:tc>
          <w:tcPr>
            <w:tcW w:type="dxa" w:w="2520"/>
            <w:vAlign w:val="center"/>
          </w:tcPr>
          <w:p>
            <w:r>
              <w:t>20,0016%</w:t>
            </w:r>
          </w:p>
        </w:tc>
        <w:tc>
          <w:tcPr>
            <w:tcW w:type="dxa" w:w="2520"/>
            <w:vAlign w:val="center"/>
          </w:tcPr>
          <w:p>
            <w:r>
              <w:t>Bloqueada por 7 anos</w:t>
            </w:r>
          </w:p>
        </w:tc>
      </w:tr>
      <w:tr>
        <w:tc>
          <w:tcPr>
            <w:tcW w:type="dxa" w:w="2520"/>
            <w:vAlign w:val="center"/>
          </w:tcPr>
          <w:p>
            <w:r>
              <w:t>0xb57a78eBc7fd70bE284e9e652D07F2d5f387173a</w:t>
            </w:r>
          </w:p>
        </w:tc>
        <w:tc>
          <w:tcPr>
            <w:tcW w:type="dxa" w:w="2520"/>
            <w:vAlign w:val="center"/>
          </w:tcPr>
          <w:p>
            <w:r>
              <w:t>2.100.000,5850</w:t>
            </w:r>
          </w:p>
        </w:tc>
        <w:tc>
          <w:tcPr>
            <w:tcW w:type="dxa" w:w="2520"/>
            <w:vAlign w:val="center"/>
          </w:tcPr>
          <w:p>
            <w:r>
              <w:t>10,5000%</w:t>
            </w:r>
          </w:p>
        </w:tc>
        <w:tc>
          <w:tcPr>
            <w:tcW w:type="dxa" w:w="2520"/>
            <w:vAlign w:val="center"/>
          </w:tcPr>
          <w:p>
            <w:r>
              <w:t>Bloqueada por 2 anos</w:t>
            </w:r>
          </w:p>
        </w:tc>
      </w:tr>
      <w:tr>
        <w:tc>
          <w:tcPr>
            <w:tcW w:type="dxa" w:w="2520"/>
            <w:vAlign w:val="center"/>
          </w:tcPr>
          <w:p>
            <w:r>
              <w:t>0xE66DB30a00CcA564a54b8cfFB722674029a44099</w:t>
            </w:r>
          </w:p>
        </w:tc>
        <w:tc>
          <w:tcPr>
            <w:tcW w:type="dxa" w:w="2520"/>
            <w:vAlign w:val="center"/>
          </w:tcPr>
          <w:p>
            <w:r>
              <w:t>491.529,2603</w:t>
            </w:r>
          </w:p>
        </w:tc>
        <w:tc>
          <w:tcPr>
            <w:tcW w:type="dxa" w:w="2520"/>
            <w:vAlign w:val="center"/>
          </w:tcPr>
          <w:p>
            <w:r>
              <w:t>2,4576%</w:t>
            </w:r>
          </w:p>
        </w:tc>
        <w:tc>
          <w:tcPr>
            <w:tcW w:type="dxa" w:w="2520"/>
            <w:vAlign w:val="center"/>
          </w:tcPr>
          <w:p>
            <w:r>
              <w:t>LP bloqueada</w:t>
            </w:r>
          </w:p>
        </w:tc>
      </w:tr>
      <w:tr>
        <w:tc>
          <w:tcPr>
            <w:tcW w:type="dxa" w:w="2520"/>
            <w:vAlign w:val="center"/>
          </w:tcPr>
          <w:p>
            <w:r>
              <w:t>0x0E40859f2A7A494fb3BE4b4cb12F5480FD2F65be</w:t>
            </w:r>
          </w:p>
        </w:tc>
        <w:tc>
          <w:tcPr>
            <w:tcW w:type="dxa" w:w="2520"/>
            <w:vAlign w:val="center"/>
          </w:tcPr>
          <w:p>
            <w:r>
              <w:t>250.000</w:t>
            </w:r>
          </w:p>
        </w:tc>
        <w:tc>
          <w:tcPr>
            <w:tcW w:type="dxa" w:w="2520"/>
            <w:vAlign w:val="center"/>
          </w:tcPr>
          <w:p>
            <w:r>
              <w:t>1,2500%</w:t>
            </w:r>
          </w:p>
        </w:tc>
        <w:tc>
          <w:tcPr>
            <w:tcW w:type="dxa" w:w="2520"/>
            <w:vAlign w:val="center"/>
          </w:tcPr>
          <w:p>
            <w:r>
              <w:t>Bloqueada por 1 ano</w:t>
            </w:r>
          </w:p>
        </w:tc>
      </w:tr>
      <w:tr>
        <w:tc>
          <w:tcPr>
            <w:tcW w:type="dxa" w:w="2520"/>
            <w:vAlign w:val="center"/>
          </w:tcPr>
          <w:p>
            <w:r>
              <w:t>0xAB47610083eB508609C79EAFe481596720FaC3A1</w:t>
            </w:r>
          </w:p>
        </w:tc>
        <w:tc>
          <w:tcPr>
            <w:tcW w:type="dxa" w:w="2520"/>
            <w:vAlign w:val="center"/>
          </w:tcPr>
          <w:p>
            <w:r>
              <w:t>250.000</w:t>
            </w:r>
          </w:p>
        </w:tc>
        <w:tc>
          <w:tcPr>
            <w:tcW w:type="dxa" w:w="2520"/>
            <w:vAlign w:val="center"/>
          </w:tcPr>
          <w:p>
            <w:r>
              <w:t>1,2500%</w:t>
            </w:r>
          </w:p>
        </w:tc>
        <w:tc>
          <w:tcPr>
            <w:tcW w:type="dxa" w:w="2520"/>
            <w:vAlign w:val="center"/>
          </w:tcPr>
          <w:p>
            <w:r>
              <w:t>Bloqueada por 2 anos</w:t>
            </w:r>
          </w:p>
        </w:tc>
      </w:tr>
      <w:tr>
        <w:tc>
          <w:tcPr>
            <w:tcW w:type="dxa" w:w="2520"/>
            <w:vAlign w:val="center"/>
          </w:tcPr>
          <w:p>
            <w:r>
              <w:t>0xE3969278595862D76BEF759f5A1F8Caf60aB1800</w:t>
            </w:r>
          </w:p>
        </w:tc>
        <w:tc>
          <w:tcPr>
            <w:tcW w:type="dxa" w:w="2520"/>
            <w:vAlign w:val="center"/>
          </w:tcPr>
          <w:p>
            <w:r>
              <w:t>41.790</w:t>
            </w:r>
          </w:p>
        </w:tc>
        <w:tc>
          <w:tcPr>
            <w:tcW w:type="dxa" w:w="2520"/>
            <w:vAlign w:val="center"/>
          </w:tcPr>
          <w:p>
            <w:r>
              <w:t>~0,2090%</w:t>
            </w:r>
          </w:p>
        </w:tc>
        <w:tc>
          <w:tcPr>
            <w:tcW w:type="dxa" w:w="2520"/>
            <w:vAlign w:val="center"/>
          </w:tcPr>
          <w:p>
            <w:r>
              <w:t>Bloqueada por 6 anos</w:t>
            </w:r>
          </w:p>
        </w:tc>
      </w:tr>
    </w:tbl>
    <w:p>
      <w:pPr>
        <w:pStyle w:val="Heading1"/>
      </w:pPr>
      <w:r>
        <w:t>6. LIQUIDEZ</w:t>
      </w:r>
    </w:p>
    <w:p>
      <w:r>
        <w:t>A estratégia de liquidez contempla MC pareado com BNB na BNB Smart Chain, com mecanismos de bloqueio destinados a aumentar a previsibilidade da liquidez disponibilizada ao mercado. O prazo de referência definido para a liquidez inicial é de 5 anos. Valores, pares e posições de liquidez devem ser verificados diretamente na blockchain e nos registros públicos do respectivo locker.</w:t>
      </w:r>
    </w:p>
    <w:p>
      <w:pPr>
        <w:pStyle w:val="Heading1"/>
      </w:pPr>
      <w:r>
        <w:t>7. CONCENTRAÇÃO E LEITURA DOS DADOS ON-CHAIN</w:t>
      </w:r>
    </w:p>
    <w:p>
      <w:r>
        <w:t>As carteiras identificadas acima representam categorias diferentes — operacional, reserva bloqueada e liquidez. Por isso, a concentração nominal não deve ser interpretada automaticamente como oferta livre para negociação. Os dados devem ser analisados considerando o status de cada carteira e seus respectivos bloqueios.</w:t>
      </w:r>
    </w:p>
    <w:p>
      <w:pPr>
        <w:pStyle w:val="Heading1"/>
      </w:pPr>
      <w:r>
        <w:t>8. ANEXO — DISTRIBUIÇÃO ON-CHAIN: TOP 100 CARTEIRAS</w:t>
      </w:r>
    </w:p>
    <w:p>
      <w:r>
        <w:t>Este anexo deve ser entendido como um snapshot das 100 principais carteiras observado em determinada data, e não como uma relação de todos os endereços que já possuíram MC. A relação completa deve ser atualizada quando houver novo levantamento on-chain.</w:t>
      </w:r>
    </w:p>
    <w:p>
      <w:pPr>
        <w:pStyle w:val="Heading1"/>
      </w:pPr>
      <w:r>
        <w:t>9. MODELO DE UTILIZAÇÃO</w:t>
      </w:r>
    </w:p>
    <w:p>
      <w:r>
        <w:t>O ecossistema busca conectar consumo, cashback, benefícios, serviços e utilização do MC. A integração progressiva do token ao aplicativo MinaCash pretende ampliar suas possibilidades de distribuição e utilização dentro das atividades do ecossistema.</w:t>
      </w:r>
    </w:p>
    <w:p>
      <w:pPr>
        <w:pStyle w:val="Heading1"/>
      </w:pPr>
      <w:r>
        <w:t>10. CASHBACK E DISTRIBUIÇÃO DO MC</w:t>
      </w:r>
    </w:p>
    <w:p>
      <w:r>
        <w:t>A partir da evolução do aplicativo e das operações do ecossistema, o MC poderá ser distribuído em mecanismos vinculados ao consumo e ao cashback. Quando o projeto utilizar o termo “mineração” nesse contexto, trata-se de distribuição programada de tokens, e não de mineração por prova de trabalho (Proof of Work).</w:t>
      </w:r>
    </w:p>
    <w:p>
      <w:pPr>
        <w:pStyle w:val="Heading1"/>
      </w:pPr>
      <w:r>
        <w:t>11. POLÍTICA ECONÔMICA</w:t>
      </w:r>
    </w:p>
    <w:p>
      <w:r>
        <w:t>Dentro do modelo econômico planejado, 50% dos resultados poderão ser direcionados à distribuição em moeda corrente por meio da estrutura bancária aplicável, enquanto 50% permanecerão vinculados ao MC, podendo o correspondente valor financeiro ser utilizado, conforme a política operacional, para aquisição de MC no mercado. A implementação efetiva depende das condições comerciais, contábeis e regulatórias aplicáveis.</w:t>
      </w:r>
    </w:p>
    <w:p>
      <w:pPr>
        <w:pStyle w:val="Heading1"/>
      </w:pPr>
      <w:r>
        <w:t>12. POLÍTICA DE RECOMPRA E QUEIMA DO MC</w:t>
      </w:r>
    </w:p>
    <w:p>
      <w:r>
        <w:t>Parte dos resultados gerados pelas atividades do ecossistema MinaCash poderá ser destinada à recompra de MC no mercado, conforme a política operacional e financeira do projeto.</w:t>
      </w:r>
    </w:p>
    <w:p>
      <w:r>
        <w:t>As recompras poderão utilizar recursos provenientes dos resultados gerados pelos diferentes produtos, serviços e atividades do ecossistema, incluindo mecanismos relacionados ao cashback e demais operações comerciais.</w:t>
      </w:r>
    </w:p>
    <w:p>
      <w:pPr>
        <w:pStyle w:val="Heading2"/>
      </w:pPr>
      <w:r>
        <w:t>12.1 Regra de queima</w:t>
      </w:r>
    </w:p>
    <w:p>
      <w:r>
        <w:t>Após a realização de uma recompra, até 15% dos tokens MC efetivamente adquiridos nessa recompra poderão ser destinados à queima permanente (burn).</w:t>
      </w:r>
    </w:p>
    <w:p>
      <w:r>
        <w:t>A base de cálculo da queima será exclusivamente o volume de MC efetivamente recomprado.</w:t>
      </w:r>
    </w:p>
    <w:p>
      <w:pPr>
        <w:pStyle w:val="ListBullet"/>
      </w:pPr>
      <w:r>
        <w:t>Não incide sobre o lucro total do ecossistema.</w:t>
      </w:r>
    </w:p>
    <w:p>
      <w:pPr>
        <w:pStyle w:val="ListBullet"/>
      </w:pPr>
      <w:r>
        <w:t>Não incide sobre o fornecimento total de MC.</w:t>
      </w:r>
    </w:p>
    <w:p>
      <w:pPr>
        <w:pStyle w:val="ListBullet"/>
      </w:pPr>
      <w:r>
        <w:t>Não representa 15% do cashback.</w:t>
      </w:r>
    </w:p>
    <w:p>
      <w:pPr>
        <w:pStyle w:val="ListBullet"/>
      </w:pPr>
      <w:r>
        <w:t>Aplica-se exclusivamente aos tokens efetivamente adquiridos nas operações de recompra.</w:t>
      </w:r>
    </w:p>
    <w:p>
      <w:pPr>
        <w:pStyle w:val="Heading2"/>
      </w:pPr>
      <w:r>
        <w:t>12.2 Exemplo</w:t>
      </w:r>
    </w:p>
    <w:p>
      <w:r>
        <w:t>Em uma operação hipotética de recompra de 100.000 MC, poderão ser destinados à queima até 15.000 MC. Os demais 85.000 MC permanecerão destinados às finalidades definidas pela política operacional e de liquidez do ecossistema.</w:t>
      </w:r>
    </w:p>
    <w:p>
      <w:r>
        <w:t>A queima somente será considerada realizada quando a operação for efetivamente executada e registrada na blockchain, permitindo sua verificação pública. O percentual utilizado poderá ser inferior a 15%, conforme as condições e decisões operacionais de cada recompra.</w:t>
      </w:r>
    </w:p>
    <w:p>
      <w:r>
        <w:t>A política de recompra e queima tem como objetivo estabelecer um mecanismo transparente de redução potencial do fornecimento circulante ao longo do desenvolvimento do ecossistema. A existência dessa política não constitui garantia de valorização ou retorno financeiro do MC.</w:t>
      </w:r>
    </w:p>
    <w:p>
      <w:pPr>
        <w:pStyle w:val="Heading1"/>
      </w:pPr>
      <w:r>
        <w:t>13. ROADMAP — 2026</w:t>
      </w:r>
    </w:p>
    <w:p>
      <w:pPr>
        <w:pStyle w:val="ListBullet"/>
      </w:pPr>
      <w:r>
        <w:t>Expansão do ecossistema MinaCash.</w:t>
      </w:r>
    </w:p>
    <w:p>
      <w:pPr>
        <w:pStyle w:val="ListBullet"/>
      </w:pPr>
      <w:r>
        <w:t>Desenvolvimento e consolidação do site oficial.</w:t>
      </w:r>
    </w:p>
    <w:p>
      <w:pPr>
        <w:pStyle w:val="ListBullet"/>
      </w:pPr>
      <w:r>
        <w:t>Publicidade, marketing e presença em redes sociais.</w:t>
      </w:r>
    </w:p>
    <w:p>
      <w:pPr>
        <w:pStyle w:val="ListBullet"/>
      </w:pPr>
      <w:r>
        <w:t>Parcerias com YouTubers, influenciadores e criadores de conteúdo.</w:t>
      </w:r>
    </w:p>
    <w:p>
      <w:pPr>
        <w:pStyle w:val="ListBullet"/>
      </w:pPr>
      <w:r>
        <w:t>Ampliação da distribuição e conhecimento do ativo dentro e fora da comunidade, com objetivo de alcance internacional conforme a capacidade do projeto.</w:t>
      </w:r>
    </w:p>
    <w:p>
      <w:pPr>
        <w:pStyle w:val="ListBullet"/>
      </w:pPr>
      <w:r>
        <w:t>Expansão da integração do MC ao aplicativo, cashback e benefícios.</w:t>
      </w:r>
    </w:p>
    <w:p>
      <w:pPr>
        <w:pStyle w:val="Heading1"/>
      </w:pPr>
      <w:r>
        <w:t>14. 2026 EM DIANTE — APLICATIVO E CASHBACK</w:t>
      </w:r>
    </w:p>
    <w:p>
      <w:r>
        <w:t>Integração progressiva do MC ao aplicativo MinaCash, com mecanismos de cashback, benefícios e distribuição programada do token, buscando conectar consumo real, benefícios e utilização do ativo dentro do ecossistema.</w:t>
      </w:r>
    </w:p>
    <w:p>
      <w:pPr>
        <w:pStyle w:val="Heading1"/>
      </w:pPr>
      <w:r>
        <w:t>15. ROADMAP — 2027</w:t>
      </w:r>
    </w:p>
    <w:p>
      <w:r>
        <w:t>Busca por listagens em corretoras externas, incluindo CEX, conforme o estágio do projeto e as condições disponíveis. Também poderão ser buscadas páginas e cobertura em plataformas de dados e acompanhamento de mercado, como CoinGecko, CoinMarketCap, CoinPaprika e outras, sempre sujeitas aos critérios de cada plataforma.</w:t>
      </w:r>
    </w:p>
    <w:p>
      <w:pPr>
        <w:pStyle w:val="Heading1"/>
      </w:pPr>
      <w:r>
        <w:t>16. VISÃO DE LONGO PRAZO</w:t>
      </w:r>
    </w:p>
    <w:p>
      <w:r>
        <w:t>Construir um ecossistema no qual consumo, benefícios, cashback, utilização do MC, atividade econômica, distribuição, liquidez e desenvolvimento do ecossistema estejam progressivamente conectados. A expansão internacional dependerá da capacidade tecnológica, comercial e regulatória do projeto.</w:t>
      </w:r>
    </w:p>
    <w:p>
      <w:pPr>
        <w:pStyle w:val="Heading1"/>
      </w:pPr>
      <w:r>
        <w:t>17. TRANSPARÊNCIA E ATUALIZAÇÕES</w:t>
      </w:r>
    </w:p>
    <w:p>
      <w:r>
        <w:t>Informações relevantes sobre contratos, carteiras, bloqueios, liquidez, operações de recompra e eventuais queimas devem, quando efetivamente realizadas, ser verificáveis por meio de registros públicos da blockchain. O projeto poderá atualizar este documento conforme houver mudanças relevantes na estrutura e nas etapas do roadmap.</w:t>
      </w:r>
    </w:p>
    <w:p>
      <w:pPr>
        <w:pStyle w:val="Heading1"/>
      </w:pPr>
      <w:r>
        <w:t>INFORMAÇÕES OFICIAIS</w:t>
      </w:r>
    </w:p>
    <w:p>
      <w:r>
        <w:t>Projeto: MinaCash</w:t>
        <w:br/>
        <w:t>Token: MC</w:t>
        <w:br/>
        <w:t>Rede: BNB Smart Chain</w:t>
        <w:br/>
        <w:t>Oferta máxima: 20.000.000 MC</w:t>
        <w:br/>
        <w:t>Contrato: 0xB1267cF152947c7eFF64507bd749E0d7D992946A</w:t>
        <w:br/>
        <w:t>Site: minacash.com.br</w:t>
      </w:r>
    </w:p>
    <w:p>
      <w:r>
        <w:br/>
        <w:t>Aviso: este documento tem finalidade informativa. Metas, integrações, listagens, mecanismos comerciais e demais iniciativas futuras dependem de execução e de requisitos técnicos, comerciais, contábeis e regulatórios. Este documento não constitui promessa de rentabilidade ou garantia de valorização do token.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